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5175" w:rsidRPr="0028244E" w:rsidRDefault="00DA5175" w:rsidP="00DA5175">
      <w:pPr>
        <w:rPr>
          <w:rFonts w:ascii="Times New Roman" w:hAnsi="Times New Roman" w:cs="Times New Roman"/>
          <w:b/>
          <w:bCs/>
          <w:sz w:val="24"/>
          <w:szCs w:val="24"/>
        </w:rPr>
      </w:pPr>
      <w:r w:rsidRPr="0028244E">
        <w:rPr>
          <w:rFonts w:ascii="Times New Roman" w:hAnsi="Times New Roman" w:cs="Times New Roman"/>
          <w:b/>
          <w:bCs/>
          <w:sz w:val="24"/>
          <w:szCs w:val="24"/>
        </w:rPr>
        <w:fldChar w:fldCharType="begin"/>
      </w:r>
      <w:r w:rsidRPr="0028244E">
        <w:rPr>
          <w:rFonts w:ascii="Times New Roman" w:hAnsi="Times New Roman" w:cs="Times New Roman"/>
          <w:b/>
          <w:bCs/>
          <w:sz w:val="24"/>
          <w:szCs w:val="24"/>
        </w:rPr>
        <w:instrText xml:space="preserve"> HYPERLINK "https://pravorub.ru/articles/64162.html" </w:instrText>
      </w:r>
      <w:r w:rsidRPr="0028244E">
        <w:rPr>
          <w:rFonts w:ascii="Times New Roman" w:hAnsi="Times New Roman" w:cs="Times New Roman"/>
          <w:b/>
          <w:bCs/>
          <w:sz w:val="24"/>
          <w:szCs w:val="24"/>
        </w:rPr>
        <w:fldChar w:fldCharType="separate"/>
      </w:r>
      <w:r w:rsidRPr="0028244E">
        <w:rPr>
          <w:rStyle w:val="a3"/>
          <w:rFonts w:ascii="Times New Roman" w:hAnsi="Times New Roman" w:cs="Times New Roman"/>
          <w:b/>
          <w:bCs/>
          <w:color w:val="auto"/>
          <w:sz w:val="24"/>
          <w:szCs w:val="24"/>
        </w:rPr>
        <w:t>Роль новых доказательств в пересмотре решения суда по вновь открывшимся обстоятельствам. Практика Европейского Суда по правам человека.</w:t>
      </w:r>
      <w:r w:rsidRPr="0028244E">
        <w:rPr>
          <w:rFonts w:ascii="Times New Roman" w:hAnsi="Times New Roman" w:cs="Times New Roman"/>
          <w:sz w:val="24"/>
          <w:szCs w:val="24"/>
        </w:rPr>
        <w:fldChar w:fldCharType="end"/>
      </w:r>
      <w:r w:rsidRPr="0028244E">
        <w:rPr>
          <w:rFonts w:ascii="Times New Roman" w:hAnsi="Times New Roman" w:cs="Times New Roman"/>
          <w:b/>
          <w:bCs/>
          <w:sz w:val="24"/>
          <w:szCs w:val="24"/>
        </w:rPr>
        <w:t xml:space="preserve"> </w:t>
      </w:r>
    </w:p>
    <w:p w:rsidR="00DA5175" w:rsidRPr="0028244E" w:rsidRDefault="00DA5175" w:rsidP="00DA5175">
      <w:pPr>
        <w:rPr>
          <w:rFonts w:ascii="Times New Roman" w:hAnsi="Times New Roman" w:cs="Times New Roman"/>
          <w:sz w:val="24"/>
          <w:szCs w:val="24"/>
        </w:rPr>
      </w:pPr>
      <w:r w:rsidRPr="0028244E">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https://pravorub.ru/upload/content/2015/09/06/cb9b57afe9239b37962d06323e74b1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A72110" id="Прямоугольник 1" o:spid="_x0000_s1026" alt="https://pravorub.ru/upload/content/2015/09/06/cb9b57afe9239b37962d06323e74b14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kyst8dAwAAI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DA5175" w:rsidRPr="0028244E" w:rsidRDefault="00DA5175" w:rsidP="00DA5175">
      <w:pPr>
        <w:rPr>
          <w:rFonts w:ascii="Times New Roman" w:hAnsi="Times New Roman" w:cs="Times New Roman"/>
          <w:sz w:val="24"/>
          <w:szCs w:val="24"/>
        </w:rPr>
      </w:pPr>
      <w:r w:rsidRPr="0028244E">
        <w:rPr>
          <w:rFonts w:ascii="Times New Roman" w:hAnsi="Times New Roman" w:cs="Times New Roman"/>
          <w:sz w:val="24"/>
          <w:szCs w:val="24"/>
        </w:rPr>
        <w:t>Пересмотр решений по вновь открывшимся обстоятельствам является одной из непростых стадий гражданского судопроизводства.</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В частности, определенные сложности вызывает применение п. 1 </w:t>
      </w:r>
      <w:hyperlink r:id="rId5" w:tgtFrame="_blank" w:history="1">
        <w:r w:rsidRPr="0028244E">
          <w:rPr>
            <w:rStyle w:val="a3"/>
            <w:rFonts w:ascii="Times New Roman" w:hAnsi="Times New Roman" w:cs="Times New Roman"/>
            <w:sz w:val="24"/>
            <w:szCs w:val="24"/>
          </w:rPr>
          <w:t>ст. 392 ГПК РФ</w:t>
        </w:r>
      </w:hyperlink>
      <w:r w:rsidRPr="0028244E">
        <w:rPr>
          <w:rFonts w:ascii="Times New Roman" w:hAnsi="Times New Roman" w:cs="Times New Roman"/>
          <w:sz w:val="24"/>
          <w:szCs w:val="24"/>
        </w:rPr>
        <w:t>, о чем и пойдет речь в этой статье.</w:t>
      </w:r>
      <w:r w:rsidRPr="0028244E">
        <w:rPr>
          <w:rFonts w:ascii="Times New Roman" w:hAnsi="Times New Roman" w:cs="Times New Roman"/>
          <w:sz w:val="24"/>
          <w:szCs w:val="24"/>
        </w:rPr>
        <w:br/>
      </w:r>
      <w:r w:rsidRPr="0028244E">
        <w:rPr>
          <w:rFonts w:ascii="Times New Roman" w:hAnsi="Times New Roman" w:cs="Times New Roman"/>
          <w:sz w:val="24"/>
          <w:szCs w:val="24"/>
        </w:rPr>
        <w:br/>
        <w:t>Данная публикация лишь обозначает направление, по которому можно двигаться в вопросе пересмотра решения суда по вновь открывшимся обстоятельствам, поскольку изложенная в ней позиция подлежит доработке в зависимости от конкретных обстоятельств дела.</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Согласно п. 1 </w:t>
      </w:r>
      <w:hyperlink r:id="rId6" w:tgtFrame="_blank" w:history="1">
        <w:r w:rsidRPr="0028244E">
          <w:rPr>
            <w:rStyle w:val="a3"/>
            <w:rFonts w:ascii="Times New Roman" w:hAnsi="Times New Roman" w:cs="Times New Roman"/>
            <w:sz w:val="24"/>
            <w:szCs w:val="24"/>
          </w:rPr>
          <w:t>ст. 392 ГПК РФ</w:t>
        </w:r>
      </w:hyperlink>
      <w:r w:rsidRPr="0028244E">
        <w:rPr>
          <w:rFonts w:ascii="Times New Roman" w:hAnsi="Times New Roman" w:cs="Times New Roman"/>
          <w:sz w:val="24"/>
          <w:szCs w:val="24"/>
        </w:rPr>
        <w:t xml:space="preserve"> основаниями для пересмотра вступивших в законную силу судебных постановлений являются: вновь открывшиеся обстоятельства — указанные в части третьей настоящей статьи и существовавшие на момент принятия судебного постановления существенные для дела обстоятельства.</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Исчерпывающий перечень вновь открывшихся обстоятельств, которые могут служить основанием для пересмотра вступившего в законную силу постановления суда, содержится в </w:t>
      </w:r>
      <w:hyperlink r:id="rId7" w:tgtFrame="_blank" w:history="1">
        <w:r w:rsidRPr="0028244E">
          <w:rPr>
            <w:rStyle w:val="a3"/>
            <w:rFonts w:ascii="Times New Roman" w:hAnsi="Times New Roman" w:cs="Times New Roman"/>
            <w:sz w:val="24"/>
            <w:szCs w:val="24"/>
          </w:rPr>
          <w:t>ст. 392 ГПК РФ</w:t>
        </w:r>
      </w:hyperlink>
      <w:r w:rsidRPr="0028244E">
        <w:rPr>
          <w:rFonts w:ascii="Times New Roman" w:hAnsi="Times New Roman" w:cs="Times New Roman"/>
          <w:sz w:val="24"/>
          <w:szCs w:val="24"/>
        </w:rPr>
        <w:t xml:space="preserve">. </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Так, согласно п. 1 </w:t>
      </w:r>
      <w:hyperlink r:id="rId8" w:tgtFrame="_blank" w:history="1">
        <w:r w:rsidRPr="0028244E">
          <w:rPr>
            <w:rStyle w:val="a3"/>
            <w:rFonts w:ascii="Times New Roman" w:hAnsi="Times New Roman" w:cs="Times New Roman"/>
            <w:sz w:val="24"/>
            <w:szCs w:val="24"/>
          </w:rPr>
          <w:t>ст. 392 ГПК РФ</w:t>
        </w:r>
      </w:hyperlink>
      <w:r w:rsidRPr="0028244E">
        <w:rPr>
          <w:rFonts w:ascii="Times New Roman" w:hAnsi="Times New Roman" w:cs="Times New Roman"/>
          <w:sz w:val="24"/>
          <w:szCs w:val="24"/>
        </w:rPr>
        <w:t xml:space="preserve">, </w:t>
      </w:r>
      <w:r w:rsidRPr="0028244E">
        <w:rPr>
          <w:rFonts w:ascii="Times New Roman" w:hAnsi="Times New Roman" w:cs="Times New Roman"/>
          <w:b/>
          <w:bCs/>
          <w:sz w:val="24"/>
          <w:szCs w:val="24"/>
        </w:rPr>
        <w:t>к вновь открывшимся обстоятельствам относятся существенные для дела обстоятельства, которые не были и не могли быть известны заявителю.</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Из содержания данной нормы закона следует, что в качестве вновь открывшихся обстоятельств рассматриваются факты, от которых зависит возникновение, изменение или прекращение прав и обязанностей лиц, участвующих в деле. По этому признаку вновь открывшиеся обстоятельства отличаются от новых доказательств по делу, которыми в силу </w:t>
      </w:r>
      <w:hyperlink r:id="rId9" w:tgtFrame="_blank" w:history="1">
        <w:r w:rsidRPr="0028244E">
          <w:rPr>
            <w:rStyle w:val="a3"/>
            <w:rFonts w:ascii="Times New Roman" w:hAnsi="Times New Roman" w:cs="Times New Roman"/>
            <w:sz w:val="24"/>
            <w:szCs w:val="24"/>
          </w:rPr>
          <w:t>ст. 55 ГПК РФ</w:t>
        </w:r>
      </w:hyperlink>
      <w:r w:rsidRPr="0028244E">
        <w:rPr>
          <w:rFonts w:ascii="Times New Roman" w:hAnsi="Times New Roman" w:cs="Times New Roman"/>
          <w:sz w:val="24"/>
          <w:szCs w:val="24"/>
        </w:rPr>
        <w:t xml:space="preserve"> являются сведения о фактах, на основании которых суд устанавливает наличие или отсутствие обстоятельств, имеющих значение для дела. </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В пункте 9 Постановления Пленума Верховного Суда Российской Федерации от 11 декабря 2012 г. № 31 «О применении норм Гражданского процессуального кодекса Российской Федерации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разъяснено, что вновь открывшимися обстоятельствами, указанными в п. 1 ч. 3 ст. 392 Гражданского процессуального кодекса Российской Федерации, являются относящиеся к делу фактические обстоятельства, объективно имевшие место на время рассмотрения дела и способные повлиять на существо принятого судебного постановления, о которых не знал и не мог знать заявитель, а также суд при вынесении данного постановления. При этом необходимо иметь в виду, что </w:t>
      </w:r>
      <w:r w:rsidRPr="0028244E">
        <w:rPr>
          <w:rFonts w:ascii="Times New Roman" w:hAnsi="Times New Roman" w:cs="Times New Roman"/>
          <w:b/>
          <w:bCs/>
          <w:sz w:val="24"/>
          <w:szCs w:val="24"/>
        </w:rPr>
        <w:t>представленные заявителем новые доказательства по делу не могут служить основанием для пересмотра судебного постановления по вновь открывшимся обстоятельствам.</w:t>
      </w:r>
      <w:r w:rsidRPr="0028244E">
        <w:rPr>
          <w:rFonts w:ascii="Times New Roman" w:hAnsi="Times New Roman" w:cs="Times New Roman"/>
          <w:sz w:val="24"/>
          <w:szCs w:val="24"/>
        </w:rPr>
        <w:br/>
      </w:r>
      <w:r w:rsidRPr="0028244E">
        <w:rPr>
          <w:rFonts w:ascii="Times New Roman" w:hAnsi="Times New Roman" w:cs="Times New Roman"/>
          <w:sz w:val="24"/>
          <w:szCs w:val="24"/>
        </w:rPr>
        <w:lastRenderedPageBreak/>
        <w:br/>
        <w:t>Казалось бы, Верховный Суд РФ поставил точку в этом вопросе, о чем свидетельствует многочисленная судебная практика, согласно которой заявления о пересмотре по вновь открывшимся обстоятельствам остаются без удовлетворения, а если какие-то и удовлетворяются, то отмена таких определений суда в вышестоящей инстанции неизбежна. На мой взгляд, причина этого заключается в том, что заявители не смогли донести до суда взаимосвязь новых доказательств с обстоятельствами, имеющими существенное значение для дела и убедительно мотивировать вывод о том, почему эти обстоятельства являются вновь открывшимися.</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Ознакомившись </w:t>
      </w:r>
      <w:hyperlink r:id="rId10" w:history="1">
        <w:r w:rsidRPr="0028244E">
          <w:rPr>
            <w:rStyle w:val="a3"/>
            <w:rFonts w:ascii="Times New Roman" w:hAnsi="Times New Roman" w:cs="Times New Roman"/>
            <w:sz w:val="24"/>
            <w:szCs w:val="24"/>
          </w:rPr>
          <w:t>с публикациями и комментариями</w:t>
        </w:r>
      </w:hyperlink>
      <w:r w:rsidRPr="0028244E">
        <w:rPr>
          <w:rFonts w:ascii="Times New Roman" w:hAnsi="Times New Roman" w:cs="Times New Roman"/>
          <w:sz w:val="24"/>
          <w:szCs w:val="24"/>
        </w:rPr>
        <w:t xml:space="preserve"> коллег по вопросу пересмотра решений по вновь открывшимся обстоятельствам, изучив практику российских судов, я решила искать утешения в практике ЕСПЧ, поскольку, по моему глубокому убеждению, главная задача судопроизводства – это восстановление нарушенных прав граждан.</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По мнению Европейского Суда по правам человека (см. постановления по делу «Ведерникова против России», по делу «Колоскова против Российской Федерации», по делу «Праведная против Российской Федерации»), одним из основополагающих аспектов верховенства права является принцип правовой определенности, который среди прочего требует, чтобы в случаях вынесения судами окончательного решения по делу это решение не ставилось бы под сомнение </w:t>
      </w:r>
      <w:r w:rsidRPr="0028244E">
        <w:rPr>
          <w:rFonts w:ascii="Times New Roman" w:hAnsi="Times New Roman" w:cs="Times New Roman"/>
          <w:i/>
          <w:iCs/>
          <w:sz w:val="24"/>
          <w:szCs w:val="24"/>
        </w:rPr>
        <w:t xml:space="preserve">(к слову, данный принцип, выработанный практикой ЕСПЧ, стал очень почитаем и любим российскими судами, которые ссылаясь на него в своих определениях, с легкостью отказывают в передаче кассационных жалоб в суд кассационной инстанции для рассмотрения по существу, несмотря на то, что данный принцип содержит требование, что стороны не вправе добиваться пересмотра окончательного и подлежащего исполнению судебного решения </w:t>
      </w:r>
      <w:r w:rsidRPr="0028244E">
        <w:rPr>
          <w:rFonts w:ascii="Times New Roman" w:hAnsi="Times New Roman" w:cs="Times New Roman"/>
          <w:i/>
          <w:iCs/>
          <w:sz w:val="24"/>
          <w:szCs w:val="24"/>
          <w:u w:val="single"/>
        </w:rPr>
        <w:t>лишь в целях пересмотра и вынесения судебного решения по делу)</w:t>
      </w:r>
      <w:r w:rsidRPr="0028244E">
        <w:rPr>
          <w:rFonts w:ascii="Times New Roman" w:hAnsi="Times New Roman" w:cs="Times New Roman"/>
          <w:i/>
          <w:iCs/>
          <w:sz w:val="24"/>
          <w:szCs w:val="24"/>
        </w:rPr>
        <w:t>.</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Согласно практике Европейского Суда по правам человека </w:t>
      </w:r>
      <w:r w:rsidRPr="0028244E">
        <w:rPr>
          <w:rFonts w:ascii="Times New Roman" w:hAnsi="Times New Roman" w:cs="Times New Roman"/>
          <w:b/>
          <w:bCs/>
          <w:sz w:val="24"/>
          <w:szCs w:val="24"/>
        </w:rPr>
        <w:t xml:space="preserve">отступление от принципа правовой определенности может быть оправдано только обстоятельствами существенного и непреодолимого характера: </w:t>
      </w:r>
      <w:r w:rsidRPr="0028244E">
        <w:rPr>
          <w:rFonts w:ascii="Times New Roman" w:hAnsi="Times New Roman" w:cs="Times New Roman"/>
          <w:sz w:val="24"/>
          <w:szCs w:val="24"/>
        </w:rPr>
        <w:t xml:space="preserve">полномочия по пересмотру </w:t>
      </w:r>
      <w:r w:rsidRPr="0028244E">
        <w:rPr>
          <w:rFonts w:ascii="Times New Roman" w:hAnsi="Times New Roman" w:cs="Times New Roman"/>
          <w:i/>
          <w:iCs/>
          <w:sz w:val="24"/>
          <w:szCs w:val="24"/>
        </w:rPr>
        <w:t>(по вновь открывшимся обстоятельствам – примечание автора</w:t>
      </w:r>
      <w:r w:rsidRPr="0028244E">
        <w:rPr>
          <w:rFonts w:ascii="Times New Roman" w:hAnsi="Times New Roman" w:cs="Times New Roman"/>
          <w:sz w:val="24"/>
          <w:szCs w:val="24"/>
        </w:rPr>
        <w:t>) должны быть осуществлены для исправления судебных ошибок и ошибок при отправлении правосудия, а не использоваться для «замаскированного обжалования» (см. Постановление ЕСПЧ по делу «Рябых против Российской Федерации», жалоба N 52854/99, § 52; Постановление ЕСПЧ по делу «Ведерникова против Российской Федерации», жалоба N 25580/02, § 25).</w:t>
      </w:r>
      <w:r w:rsidRPr="0028244E">
        <w:rPr>
          <w:rFonts w:ascii="Times New Roman" w:hAnsi="Times New Roman" w:cs="Times New Roman"/>
          <w:sz w:val="24"/>
          <w:szCs w:val="24"/>
        </w:rPr>
        <w:br/>
      </w:r>
      <w:r w:rsidRPr="0028244E">
        <w:rPr>
          <w:rFonts w:ascii="Times New Roman" w:hAnsi="Times New Roman" w:cs="Times New Roman"/>
          <w:sz w:val="24"/>
          <w:szCs w:val="24"/>
        </w:rPr>
        <w:br/>
        <w:t xml:space="preserve">Как указано в Постановлении ЕСПЧ от 12.07.2007 года по делу «Ведерникова против России», Конвенция о защите прав человека и основных свобод в принципе допускает пересмотр судебного решения, вступившего в законную силу, по вновь открывшимся обстоятельствам; например, ст. 4 Протокола N 7 к Конвенции однозначно разрешает государству исправлять ошибки уголовного судопроизводства, и к числу таких ошибок, безусловно, можно отнести судебное решение, в котором не отражены сведения об основных доказательствах по делу. </w:t>
      </w:r>
      <w:r w:rsidRPr="0028244E">
        <w:rPr>
          <w:rFonts w:ascii="Times New Roman" w:hAnsi="Times New Roman" w:cs="Times New Roman"/>
          <w:sz w:val="24"/>
          <w:szCs w:val="24"/>
        </w:rPr>
        <w:br/>
      </w:r>
      <w:r w:rsidRPr="0028244E">
        <w:rPr>
          <w:rFonts w:ascii="Times New Roman" w:hAnsi="Times New Roman" w:cs="Times New Roman"/>
          <w:sz w:val="24"/>
          <w:szCs w:val="24"/>
        </w:rPr>
        <w:br/>
      </w:r>
      <w:r w:rsidRPr="0028244E">
        <w:rPr>
          <w:rFonts w:ascii="Times New Roman" w:hAnsi="Times New Roman" w:cs="Times New Roman"/>
          <w:b/>
          <w:bCs/>
          <w:sz w:val="24"/>
          <w:szCs w:val="24"/>
        </w:rPr>
        <w:t xml:space="preserve">Положение ст. 4 Протокола N 7 Европейский Суд по правам человека посредством толкования во взаимосвязи со ст. 6 Конвенции о защите прав человека и основных свобод распространил и на гражданские дела, посчитав, что отступление от </w:t>
      </w:r>
      <w:r w:rsidRPr="0028244E">
        <w:rPr>
          <w:rFonts w:ascii="Times New Roman" w:hAnsi="Times New Roman" w:cs="Times New Roman"/>
          <w:b/>
          <w:bCs/>
          <w:sz w:val="24"/>
          <w:szCs w:val="24"/>
        </w:rPr>
        <w:lastRenderedPageBreak/>
        <w:t xml:space="preserve">принципа правовой определенности в этих делах возможно </w:t>
      </w:r>
      <w:r w:rsidRPr="0028244E">
        <w:rPr>
          <w:rFonts w:ascii="Times New Roman" w:hAnsi="Times New Roman" w:cs="Times New Roman"/>
          <w:b/>
          <w:bCs/>
          <w:sz w:val="24"/>
          <w:szCs w:val="24"/>
          <w:u w:val="single"/>
        </w:rPr>
        <w:t xml:space="preserve">для исправления существенного (фундаментального) нарушения или ненадлежащего отправления правосудия. </w:t>
      </w:r>
      <w:r w:rsidRPr="0028244E">
        <w:rPr>
          <w:rFonts w:ascii="Times New Roman" w:hAnsi="Times New Roman" w:cs="Times New Roman"/>
          <w:sz w:val="24"/>
          <w:szCs w:val="24"/>
        </w:rPr>
        <w:br/>
      </w:r>
      <w:r w:rsidRPr="0028244E">
        <w:rPr>
          <w:rFonts w:ascii="Times New Roman" w:hAnsi="Times New Roman" w:cs="Times New Roman"/>
          <w:sz w:val="24"/>
          <w:szCs w:val="24"/>
        </w:rPr>
        <w:br/>
        <w:t>При этом, по мнению ЕСПЧ, отраженному в деле «Праведная против Российской Федерации» (§ 28), «</w:t>
      </w:r>
      <w:r w:rsidRPr="0028244E">
        <w:rPr>
          <w:rFonts w:ascii="Times New Roman" w:hAnsi="Times New Roman" w:cs="Times New Roman"/>
          <w:b/>
          <w:bCs/>
          <w:sz w:val="24"/>
          <w:szCs w:val="24"/>
        </w:rPr>
        <w:t xml:space="preserve">процедура отмены окончательного судебного решения </w:t>
      </w:r>
      <w:r w:rsidRPr="0028244E">
        <w:rPr>
          <w:rFonts w:ascii="Times New Roman" w:hAnsi="Times New Roman" w:cs="Times New Roman"/>
          <w:i/>
          <w:iCs/>
          <w:sz w:val="24"/>
          <w:szCs w:val="24"/>
        </w:rPr>
        <w:t>(по вновь открывшимся обстоятельствам – примечание автора) </w:t>
      </w:r>
      <w:r w:rsidRPr="0028244E">
        <w:rPr>
          <w:rFonts w:ascii="Times New Roman" w:hAnsi="Times New Roman" w:cs="Times New Roman"/>
          <w:b/>
          <w:bCs/>
          <w:sz w:val="24"/>
          <w:szCs w:val="24"/>
        </w:rPr>
        <w:t xml:space="preserve">предполагает, что </w:t>
      </w:r>
      <w:r w:rsidRPr="0028244E">
        <w:rPr>
          <w:rFonts w:ascii="Times New Roman" w:hAnsi="Times New Roman" w:cs="Times New Roman"/>
          <w:b/>
          <w:bCs/>
          <w:sz w:val="24"/>
          <w:szCs w:val="24"/>
          <w:u w:val="single"/>
        </w:rPr>
        <w:t>имеются доказательства, которые ранее не были объективно доступными и которые могут привести к иному результату судебного разбирательства;</w:t>
      </w:r>
      <w:r w:rsidRPr="0028244E">
        <w:rPr>
          <w:rFonts w:ascii="Times New Roman" w:hAnsi="Times New Roman" w:cs="Times New Roman"/>
          <w:b/>
          <w:bCs/>
          <w:sz w:val="24"/>
          <w:szCs w:val="24"/>
        </w:rPr>
        <w:t xml:space="preserve"> лицо, требующее отмены судебного решения, должно доказать, что у него не было возможности представить доказательство до окончания судебного разбирательства и </w:t>
      </w:r>
      <w:r w:rsidRPr="0028244E">
        <w:rPr>
          <w:rFonts w:ascii="Times New Roman" w:hAnsi="Times New Roman" w:cs="Times New Roman"/>
          <w:b/>
          <w:bCs/>
          <w:sz w:val="24"/>
          <w:szCs w:val="24"/>
          <w:u w:val="single"/>
        </w:rPr>
        <w:t>что такое доказательство имеет решающее значение в деле»</w:t>
      </w:r>
      <w:r w:rsidRPr="0028244E">
        <w:rPr>
          <w:rFonts w:ascii="Times New Roman" w:hAnsi="Times New Roman" w:cs="Times New Roman"/>
          <w:b/>
          <w:bCs/>
          <w:sz w:val="24"/>
          <w:szCs w:val="24"/>
        </w:rPr>
        <w:t>.</w:t>
      </w:r>
      <w:r w:rsidRPr="0028244E">
        <w:rPr>
          <w:rFonts w:ascii="Times New Roman" w:hAnsi="Times New Roman" w:cs="Times New Roman"/>
          <w:sz w:val="24"/>
          <w:szCs w:val="24"/>
        </w:rPr>
        <w:br/>
      </w:r>
      <w:r w:rsidRPr="0028244E">
        <w:rPr>
          <w:rFonts w:ascii="Times New Roman" w:hAnsi="Times New Roman" w:cs="Times New Roman"/>
          <w:sz w:val="24"/>
          <w:szCs w:val="24"/>
        </w:rPr>
        <w:br/>
        <w:t>В противном случае, непринятие своевременных мер к выявлению и устранению нарушений прав и свобод, особенно в тех случаях, когда в дальнейшем их восстановление оказывается невозможным, должно расцениваться как невыполнение государством и его органами своей конституционной обязанности обеспечивать соблюдение прав и свобод человека и гражданина.</w:t>
      </w:r>
    </w:p>
    <w:p w:rsidR="00F63331" w:rsidRDefault="00F63331"/>
    <w:p w:rsidR="00AC1305" w:rsidRPr="0028244E" w:rsidRDefault="00AC1305">
      <w:pPr>
        <w:rPr>
          <w:rFonts w:ascii="Times New Roman" w:hAnsi="Times New Roman" w:cs="Times New Roman"/>
          <w:sz w:val="24"/>
          <w:szCs w:val="24"/>
        </w:rPr>
      </w:pPr>
      <w:r w:rsidRPr="0028244E">
        <w:rPr>
          <w:rFonts w:ascii="Times New Roman" w:hAnsi="Times New Roman" w:cs="Times New Roman"/>
          <w:sz w:val="24"/>
          <w:szCs w:val="24"/>
        </w:rPr>
        <w:t>адвокат Минина Ольга Витальевна</w:t>
      </w:r>
      <w:r w:rsidRPr="0028244E">
        <w:rPr>
          <w:rFonts w:ascii="Times New Roman" w:hAnsi="Times New Roman" w:cs="Times New Roman"/>
          <w:sz w:val="24"/>
          <w:szCs w:val="24"/>
        </w:rPr>
        <w:br/>
      </w:r>
      <w:r w:rsidRPr="0028244E">
        <w:rPr>
          <w:rFonts w:ascii="Times New Roman" w:hAnsi="Times New Roman" w:cs="Times New Roman"/>
          <w:sz w:val="24"/>
          <w:szCs w:val="24"/>
        </w:rPr>
        <w:br/>
        <w:t>г.Южно-Сахалинск,</w:t>
      </w:r>
      <w:r w:rsidRPr="0028244E">
        <w:rPr>
          <w:rFonts w:ascii="Times New Roman" w:hAnsi="Times New Roman" w:cs="Times New Roman"/>
          <w:sz w:val="24"/>
          <w:szCs w:val="24"/>
        </w:rPr>
        <w:br/>
        <w:t>ул.К.Маркса, д. 20, оф.322</w:t>
      </w:r>
      <w:r w:rsidRPr="0028244E">
        <w:rPr>
          <w:rFonts w:ascii="Times New Roman" w:hAnsi="Times New Roman" w:cs="Times New Roman"/>
          <w:sz w:val="24"/>
          <w:szCs w:val="24"/>
        </w:rPr>
        <w:br/>
        <w:t>тел. (4242) 25-15-05</w:t>
      </w:r>
      <w:r w:rsidRPr="0028244E">
        <w:rPr>
          <w:rFonts w:ascii="Times New Roman" w:hAnsi="Times New Roman" w:cs="Times New Roman"/>
          <w:sz w:val="24"/>
          <w:szCs w:val="24"/>
        </w:rPr>
        <w:br/>
      </w:r>
      <w:r w:rsidRPr="0028244E">
        <w:rPr>
          <w:rFonts w:ascii="Times New Roman" w:hAnsi="Times New Roman" w:cs="Times New Roman"/>
          <w:sz w:val="24"/>
          <w:szCs w:val="24"/>
        </w:rPr>
        <w:br/>
      </w:r>
      <w:hyperlink r:id="rId11" w:tgtFrame="_blank" w:history="1">
        <w:r w:rsidRPr="0028244E">
          <w:rPr>
            <w:rStyle w:val="a3"/>
            <w:rFonts w:ascii="Times New Roman" w:hAnsi="Times New Roman" w:cs="Times New Roman"/>
            <w:color w:val="auto"/>
            <w:sz w:val="24"/>
            <w:szCs w:val="24"/>
            <w:u w:val="none"/>
          </w:rPr>
          <w:t>https://advokat-minina.pravorub.ru</w:t>
        </w:r>
      </w:hyperlink>
      <w:r w:rsidRPr="0028244E">
        <w:rPr>
          <w:rFonts w:ascii="Times New Roman" w:hAnsi="Times New Roman" w:cs="Times New Roman"/>
          <w:sz w:val="24"/>
          <w:szCs w:val="24"/>
        </w:rPr>
        <w:t> </w:t>
      </w:r>
    </w:p>
    <w:sectPr w:rsidR="00AC1305" w:rsidRPr="00282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41"/>
    <w:rsid w:val="0028244E"/>
    <w:rsid w:val="002A471F"/>
    <w:rsid w:val="00AC1305"/>
    <w:rsid w:val="00D12641"/>
    <w:rsid w:val="00DA5175"/>
    <w:rsid w:val="00F63331"/>
    <w:rsid w:val="00FE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1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8293">
      <w:bodyDiv w:val="1"/>
      <w:marLeft w:val="0"/>
      <w:marRight w:val="0"/>
      <w:marTop w:val="0"/>
      <w:marBottom w:val="0"/>
      <w:divBdr>
        <w:top w:val="none" w:sz="0" w:space="0" w:color="auto"/>
        <w:left w:val="none" w:sz="0" w:space="0" w:color="auto"/>
        <w:bottom w:val="none" w:sz="0" w:space="0" w:color="auto"/>
        <w:right w:val="none" w:sz="0" w:space="0" w:color="auto"/>
      </w:divBdr>
      <w:divsChild>
        <w:div w:id="129711265">
          <w:marLeft w:val="0"/>
          <w:marRight w:val="0"/>
          <w:marTop w:val="0"/>
          <w:marBottom w:val="0"/>
          <w:divBdr>
            <w:top w:val="none" w:sz="0" w:space="0" w:color="auto"/>
            <w:left w:val="none" w:sz="0" w:space="0" w:color="auto"/>
            <w:bottom w:val="none" w:sz="0" w:space="0" w:color="auto"/>
            <w:right w:val="none" w:sz="0" w:space="0" w:color="auto"/>
          </w:divBdr>
          <w:divsChild>
            <w:div w:id="1430613380">
              <w:marLeft w:val="0"/>
              <w:marRight w:val="0"/>
              <w:marTop w:val="0"/>
              <w:marBottom w:val="0"/>
              <w:divBdr>
                <w:top w:val="none" w:sz="0" w:space="0" w:color="auto"/>
                <w:left w:val="none" w:sz="0" w:space="0" w:color="auto"/>
                <w:bottom w:val="none" w:sz="0" w:space="0" w:color="auto"/>
                <w:right w:val="none" w:sz="0" w:space="0" w:color="auto"/>
              </w:divBdr>
              <w:divsChild>
                <w:div w:id="1766729728">
                  <w:marLeft w:val="0"/>
                  <w:marRight w:val="0"/>
                  <w:marTop w:val="0"/>
                  <w:marBottom w:val="0"/>
                  <w:divBdr>
                    <w:top w:val="none" w:sz="0" w:space="0" w:color="auto"/>
                    <w:left w:val="none" w:sz="0" w:space="0" w:color="auto"/>
                    <w:bottom w:val="none" w:sz="0" w:space="0" w:color="auto"/>
                    <w:right w:val="none" w:sz="0" w:space="0" w:color="auto"/>
                  </w:divBdr>
                </w:div>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3135">
          <w:marLeft w:val="0"/>
          <w:marRight w:val="0"/>
          <w:marTop w:val="0"/>
          <w:marBottom w:val="0"/>
          <w:divBdr>
            <w:top w:val="none" w:sz="0" w:space="0" w:color="auto"/>
            <w:left w:val="none" w:sz="0" w:space="0" w:color="auto"/>
            <w:bottom w:val="none" w:sz="0" w:space="0" w:color="auto"/>
            <w:right w:val="none" w:sz="0" w:space="0" w:color="auto"/>
          </w:divBdr>
        </w:div>
        <w:div w:id="635843728">
          <w:marLeft w:val="0"/>
          <w:marRight w:val="0"/>
          <w:marTop w:val="0"/>
          <w:marBottom w:val="0"/>
          <w:divBdr>
            <w:top w:val="none" w:sz="0" w:space="0" w:color="auto"/>
            <w:left w:val="none" w:sz="0" w:space="0" w:color="auto"/>
            <w:bottom w:val="none" w:sz="0" w:space="0" w:color="auto"/>
            <w:right w:val="none" w:sz="0" w:space="0" w:color="auto"/>
          </w:divBdr>
          <w:divsChild>
            <w:div w:id="10101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rub.ru/tag/%D1%81%D1%82.+392+%D0%93%D0%9F%D0%9A+%D0%A0%D0%A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rub.ru/tag/%D1%81%D1%82.+392+%D0%93%D0%9F%D0%9A+%D0%A0%D0%A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rub.ru/tag/%D1%81%D1%82.+392+%D0%93%D0%9F%D0%9A+%D0%A0%D0%A4/" TargetMode="External"/><Relationship Id="rId11" Type="http://schemas.openxmlformats.org/officeDocument/2006/relationships/hyperlink" Target="https://advokat-minina.pravorub.ru" TargetMode="External"/><Relationship Id="rId5" Type="http://schemas.openxmlformats.org/officeDocument/2006/relationships/hyperlink" Target="https://pravorub.ru/tag/%D1%81%D1%82.+392+%D0%93%D0%9F%D0%9A+%D0%A0%D0%A4/" TargetMode="External"/><Relationship Id="rId10" Type="http://schemas.openxmlformats.org/officeDocument/2006/relationships/hyperlink" Target="https://pravorub.ru/search/?text=%D0%B2%D0%BD%D0%BE%D0%B2%D1%8C+%D0%BE%D1%82%D0%BA%D1%80%D1%8B%D0%B2%D1%88%D0%B8%D0%B5%D1%81%D1%8F+%D0%BE%D0%B1%D1%81%D1%82%D0%BE%D1%8F%D1%82%D0%B5%D0%BB%D1%8C%D1%81%D1%82%D0%B2%D0%B0" TargetMode="External"/><Relationship Id="rId4" Type="http://schemas.openxmlformats.org/officeDocument/2006/relationships/webSettings" Target="webSettings.xml"/><Relationship Id="rId9" Type="http://schemas.openxmlformats.org/officeDocument/2006/relationships/hyperlink" Target="https://pravorub.ru/tag/%D1%81%D1%82.+55+%D0%93%D0%9F%D0%9A+%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Мурка</dc:creator>
  <cp:lastModifiedBy>USER</cp:lastModifiedBy>
  <cp:revision>2</cp:revision>
  <dcterms:created xsi:type="dcterms:W3CDTF">2016-06-29T08:46:00Z</dcterms:created>
  <dcterms:modified xsi:type="dcterms:W3CDTF">2016-06-29T08:46:00Z</dcterms:modified>
</cp:coreProperties>
</file>