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4" w:rsidRPr="004C1D34" w:rsidRDefault="004C1D34" w:rsidP="004C1D34">
      <w:pPr>
        <w:spacing w:before="100" w:beforeAutospacing="1" w:after="100" w:afterAutospacing="1" w:line="240" w:lineRule="auto"/>
        <w:jc w:val="center"/>
        <w:outlineLvl w:val="0"/>
        <w:rPr>
          <w:rFonts w:ascii="europe" w:eastAsia="Times New Roman" w:hAnsi="europe" w:cs="Times New Roman"/>
          <w:color w:val="9F372B"/>
          <w:kern w:val="36"/>
          <w:sz w:val="48"/>
          <w:szCs w:val="48"/>
          <w:lang w:eastAsia="ru-RU"/>
        </w:rPr>
      </w:pPr>
      <w:r w:rsidRPr="004C1D34">
        <w:rPr>
          <w:rFonts w:ascii="europe" w:eastAsia="Times New Roman" w:hAnsi="europe" w:cs="Times New Roman"/>
          <w:color w:val="9F372B"/>
          <w:kern w:val="36"/>
          <w:sz w:val="48"/>
          <w:szCs w:val="48"/>
          <w:lang w:eastAsia="ru-RU"/>
        </w:rPr>
        <w:t>Методические рекомендации</w:t>
      </w:r>
    </w:p>
    <w:p w:rsidR="004C1D34" w:rsidRPr="004C1D34" w:rsidRDefault="004C1D34" w:rsidP="004C1D34">
      <w:pPr>
        <w:spacing w:before="240" w:after="240" w:line="240" w:lineRule="auto"/>
        <w:jc w:val="center"/>
        <w:rPr>
          <w:rFonts w:ascii="europe" w:eastAsia="Times New Roman" w:hAnsi="europe" w:cs="Times New Roman"/>
          <w:color w:val="606060"/>
          <w:sz w:val="23"/>
          <w:szCs w:val="23"/>
          <w:lang w:eastAsia="ru-RU"/>
        </w:rPr>
      </w:pPr>
      <w:r w:rsidRPr="004C1D34">
        <w:rPr>
          <w:rFonts w:ascii="europe" w:eastAsia="Times New Roman" w:hAnsi="europe" w:cs="Times New Roman"/>
          <w:color w:val="606060"/>
          <w:sz w:val="23"/>
          <w:szCs w:val="23"/>
          <w:lang w:eastAsia="ru-RU"/>
        </w:rPr>
        <w:t>по ведению адвокатского производства</w:t>
      </w:r>
    </w:p>
    <w:p w:rsidR="004C1D34" w:rsidRPr="004C1D34" w:rsidRDefault="004C1D34" w:rsidP="004C1D34">
      <w:pPr>
        <w:spacing w:after="0" w:line="250" w:lineRule="atLeast"/>
        <w:jc w:val="center"/>
        <w:rPr>
          <w:rFonts w:ascii="europe" w:eastAsia="Times New Roman" w:hAnsi="europe" w:cs="Times New Roman"/>
          <w:b/>
          <w:bCs/>
          <w:color w:val="000000"/>
          <w:sz w:val="16"/>
          <w:szCs w:val="16"/>
          <w:lang w:eastAsia="ru-RU"/>
        </w:rPr>
      </w:pPr>
      <w:r w:rsidRPr="004C1D34">
        <w:rPr>
          <w:rFonts w:ascii="europe" w:eastAsia="Times New Roman" w:hAnsi="europe" w:cs="Times New Roman"/>
          <w:b/>
          <w:bCs/>
          <w:color w:val="000000"/>
          <w:sz w:val="16"/>
          <w:lang w:eastAsia="ru-RU"/>
        </w:rPr>
        <w:t>21.06.2010 Протокол №5 с доп. от 28.09.2016 (Протокол №7)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разработан </w:t>
      </w:r>
      <w:r w:rsidRPr="004C1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Федеральной палатой адвокатов Российской Федерации (далее – Палата)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методической помощи адвокатам в формировании адвокатского производства при осуществлении защиты или представительства. В нем содержатся рекомендации по составлению и ведению адвокатского производства по уголовным и гражданским делам. В связи с многообразием форм юридической помощи, оказываемой адвокатами – ведение дел в иных видах судопроизводства, представительство в органах государственной власти и местного самоуправления, юридическое сопровождение предпринимательской деятельности – данные рекомендации не преследуют цели охватить все отрасли права и не могут носить исчерпывающего характера. В случае ведения адвокатом производства в иных отраслях права настоящие рекомендации подлежат применению по аналогии.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адвокатской деятельности и адвокатуре в Российской Федерации» (п.п. 1 п.1 ст. 7)  и Кодексом профессиональной этики адвоката (п. 1 ст. 8) адвокат обязан честно, разумно, добросовестно, квалифицированно исполнять свои профессиональные обязанности. За неисполнение своих обязанностей адвокат может быть привлечен к дисциплинарной ответственности (п. 2 ст. 7 Федерального закона «Об адвокатской деятельности и адвокатуре в Российской Федерации»).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и результативное исполнение адвокатом профессиональных обязанностей невозможно без тщательной подготовки к ведению дела, в том числе без изучения материалов дела</w:t>
      </w:r>
      <w:bookmarkStart w:id="0" w:name="_ftnref1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"file:///Z:\\Ð ÑÐ¼ÑÐ½ÑÐµÐ²Ð°\\Ð¡Ð°Ð¹Ñ%20Ð¤ÐÐ\\Ð¨Ð°Ð±Ð\»Ð¾Ð½%20Ð´Ð\»Ñ%20Ð¾ÑÐ¾ÑÐ¼Ð\»ÐµÐ½Ð¸Ñ%20Ð´Ð¾ÐºÑÐ¼ÐµÐ½ÑÐ¾Ð²\\Ð ÐµÑÐµÐ½Ð¸Ñ%20Ð¡Ð¾Ð²ÐµÑÐ°%20Ð¤ÐÐ\\2010%20Ð³Ð¾Ð´\\Ð ÐµÐºÐ¾Ð¼ÐµÐ½Ð´Ð°ÑÐ¸Ð¸\\ÐÐµÑÐ¾Ð´Ð¸ÑÐµÑÐºÐ¸Ðµ%20ÑÐµÐºÐ¾Ð¼ÐµÐ½Ð´Ð°ÑÐ¸Ð¸%20Ð¿Ð¾%20Ð²ÐµÐ´ÐµÐ½Ð¸Ñ%20Ð°Ð´Ð²Ð¾ÐºÐ°ÑÑÐºÐ¾Ð³Ð¾%20Ð¿ÑÐ¾Ð¸Ð·Ð²Ð¾Ð´ÑÑÐ²Ð°.doc" \l "_ftn1" </w:instrTex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1D34">
        <w:rPr>
          <w:rFonts w:ascii="Times New Roman" w:eastAsia="Times New Roman" w:hAnsi="Times New Roman" w:cs="Times New Roman"/>
          <w:color w:val="9F372B"/>
          <w:sz w:val="24"/>
          <w:szCs w:val="24"/>
          <w:lang w:eastAsia="ru-RU"/>
        </w:rPr>
        <w:t>[1]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записей. Все относящиеся к делу материалы должны храниться адвокатом в специальном производстве, условно называемом адвокатским досье.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об адвокатуре не содержит прямого требования об обязательности ведения адвокатского производства. Однако необходимость его ведения вытекает из содержания п. 3 ст. 8 Федерального закона «Об адвокатской деятельности и адвокатуре в Российской Федерации», в соответствии с которой полученные в ходе оперативно-розыскных мероприятий или следственных действий сведения, предметы и документы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адвокатского производства является необходимым также по смыслу п. 9 ст. 6 Кодекса профессиональной этики адвоката.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адвокатского производства производится в целях наиболее удобной для адвоката организации и систематизации информации в процессе оказания юридической помощи доверителю, облегчения работы с информацией, эффективного использования собранных данных при формировании позиции по делу и ее реализации. Правильно составленное и оформленное адвокатское производство может оказать помощь адвокату по другим аналогичным делам, например, при анализе нормативного материала и судебной практики, выработке позиции по делу, способах доказывания и т.д.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адвокатское производство является наиболее эффективным подтверждением факта, объема и качества оказания адвокатом юридической помощи доверителю, а также может служить доказательством при защите адвоката от необоснованных претензий доверителя к качеству работы адвоката и по спорам о размерах гонорара за оказанную юридическую помощь.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производство является одним из способов сохранения адвокатской тайны; содержащиеся в нем сведения и материалы не могут быть использованы в качестве доказательств обвинения.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ведения адвокатского производства обусловливается необходимостью представления упорядоченной картины осуществляемой адвокатом деятельности. Отсутствие адвокатского производства в случае, когда возникает необходимость оценки качества работы адвоката, является одним из оснований признания его работы недобросовестной.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адвоката (п. 9 ст. 6) обязывает адвоката при ведении производства выполнять требования, в соответствии с которыми материалы, входящие в состав адвокатского производства по делу, а также переписка адвоката с доверителем, должны быть ясным и недвусмысленным образом обозначены как принадлежащие адвокату или исходящие от него. Адвокат должен вести делопроизводство отдельно от документов, принадлежащих доверителю.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возникновения конфликтов и споров по поводу возможной утраты оригинальных документов адвокатам рекомендуется по возможности не хранить оригиналы предоставленных доверителям документов, а снимать с них копии и помещать их в адвокатское производство. Оригиналы документов целесообразно затребовать у доверителя по мере необходимости, когда они должны быть представлены в суд или иные органы. Рекомендуется также письменно фиксировать передачу таких документов от доверителя адвокату и наоборот.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адвокат оформляет адвокатское производство со дня принятия поручения от доверителя.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адвокатского производства хранятся в специально приспособленной для этих целей папке (папках) или файле (файлах). 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стороне адвокатского производства должны содержаться следующие данные: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адвокатского образования;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фамилия и имя адвоката, его регистрационный номер в реестре;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ФИО защищаемого (представляемого) лица;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номер соглашения об оказании юридической помощи и дата его составления;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дата принятия поручения;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номер ордера адвоката и дата его выдачи;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органа, в производстве которого находится дело;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уголовно-правовая квалификация деяния или характер исковых требований.</w:t>
      </w:r>
    </w:p>
    <w:p w:rsidR="004C1D34" w:rsidRPr="004C1D34" w:rsidRDefault="004C1D34" w:rsidP="004C1D34">
      <w:pPr>
        <w:spacing w:after="0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На лицевой стороне адвокатского производства рекомендуется иметь гриф следующего содержания: </w:t>
      </w:r>
      <w:r w:rsidRPr="004C1D34">
        <w:rPr>
          <w:rFonts w:ascii="europe" w:eastAsia="Times New Roman" w:hAnsi="europe" w:cs="Times New Roman"/>
          <w:b/>
          <w:bCs/>
          <w:i/>
          <w:iCs/>
          <w:sz w:val="24"/>
          <w:szCs w:val="24"/>
          <w:lang w:eastAsia="ru-RU"/>
        </w:rPr>
        <w:t>«Адвокатское производство – содержащиеся в нем сведения составляют охраняемую законом адвокатскую тайну и не могут использоваться в качестве доказательств обвинения».</w:t>
      </w:r>
    </w:p>
    <w:p w:rsidR="004C1D34" w:rsidRPr="004C1D34" w:rsidRDefault="004C1D34" w:rsidP="004C1D34">
      <w:pPr>
        <w:spacing w:after="0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lastRenderedPageBreak/>
        <w:t>Выполнение данного требования необходимо для четкого обозначения того, что на материалы (информацию), включенные в адвокатское производство, распространяется действие адвокатской тайны</w:t>
      </w:r>
      <w:hyperlink r:id="rId4" w:anchor="2" w:history="1">
        <w:r w:rsidRPr="004C1D34">
          <w:rPr>
            <w:rFonts w:ascii="europe" w:eastAsia="Times New Roman" w:hAnsi="europe" w:cs="Times New Roman"/>
            <w:color w:val="9F372B"/>
            <w:sz w:val="24"/>
            <w:szCs w:val="24"/>
            <w:lang w:eastAsia="ru-RU"/>
          </w:rPr>
          <w:t>[2]</w:t>
        </w:r>
      </w:hyperlink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>.</w:t>
      </w:r>
    </w:p>
    <w:p w:rsidR="004C1D34" w:rsidRPr="004C1D34" w:rsidRDefault="004C1D34" w:rsidP="004C1D34">
      <w:pPr>
        <w:spacing w:after="0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На внутренней стороне папки должны быть обозначены перечень содержащихся в производстве материалов (опись), а также в хронологическом порядке действия по выполнению поручения и их результаты. 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производство рекомендуется вести на бумажных носителях. Как показывает практика, для работы с материалами дела в судебном заседании производство на бумажных носителях является наиболее удобным. Наряду с этим допускается ведение адвокатского производства на цифровых носителях информации. Это может быть более целесообразно в случаях, когда материалы дела имеют большой объем, делающий невозможным либо проблематичным хранение такого количества документов и их транспортировку в суд или иные органы на бумажных носителях.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производство следует хранить не менее трех лет с момента выполнения условий соглашения. Порядок хранения адвокатского производства определяется адвокатом либо адвокатским образованием, в котором адвокат осуществляет свою деятельность.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настоящих рекомендаций учтен многолетний опыт адвокатской практики по выработке общих подходов к профессиональной деятельности. Методические рекомендации объединяют в себе как основные правила ведения адвокатского производства, так и рекомендации по обеспечению адвокатской тайны, которым должен следовать каждый адвокат при работе с материалами адвокатского производства.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Адвокатские палаты субъектов РФ могут либо принять данные рекомендации по ведению адвокатского производства, либо на их основе разработать собственные рекомендации.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Содержание адвокатского производства по уголовным делам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видов юридической помощи, оказываемой адвокатом, является осуществление защиты прав и интересов лица по делам, находящимся в производстве органов дознания, предварительного следствия и суда. Защита прав и  интересов лица в этих органах требует от адвоката не только глубоких теоретических знаний, но и профессионального мастерства в их реализации.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квалифицированной юридической помощи по таким делам адвокат должен тщательно ознакомиться с материалами уголовного дела по окончании предварительного следствия или в суде да начала судебного разбирательства, сделать соответствующие выписки, изготовить копии процессуальных документов, сделать пометки, имеющие значение для формирования позиции защиты.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материалов уголовного дела, выписки из материалов и все иные записи адвоката по конкретному делу рекомендуется оформлять и хранить в форме адвокатского производства в соответствии с вышеприведенными рекомендациями.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адвокатском производстве рекомендуется хранить копии либо оригиналы представляемых в следственные или судебные органы процессуальных документов, копии  иных представляемых документов либо выписки из них, копии постановлений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следователя, постановлений и определений суда, копии жалоб на решения следователя или суда, тезисы выступлений в судебных заседаниях, в том числе в кассационной инстанции, копии определений кассационной инстанции.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адвокатском производстве по уголовным делам обязательно должны находиться: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постановления о возбуждении уголовного дела либо выписки из него;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постановления о привлечении в качестве обвиняемого;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протоколов допроса подзащитного в качестве подозреваемого и обвиняемого либо выписки их них;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нахождения лица под стражей </w:t>
      </w:r>
      <w:r w:rsidRPr="004C1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копия постановления об избрании меры пресечения, о продлении срока содержания под стражей, жалобы на данные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постановления и ответы (определения) судов;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всех заявленных по делу ходатайств и ответы на них;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обвинительного заключения.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адвоката в следственных действиях рекомендуется вести запись показаний обвиняемого, лиц, участвующих в очной ставке, опознании и т.д. С разрешения лица, производящего допрос, целесообразно делать ксерокопии или фотокопии процессуальных документов.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также отражать в адвокатском производстве даты свиданий с подзащитным, их продолжительность, вопросы, которые обсуждались и вопросы, которые предстоит выяснить для определения позиции защиты.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делам, по которым к уголовной ответственности привлекаются два и более лица, рекомендуется, при наличии такой возможности, получать также копии постановлений о привлечении в качестве обвиняемого других обвиняемых и протоколы показаний данных лиц. Это позволит составить более широкое представление о позиции как обвинения, так и других обвиняемых.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удобства пользования материалами в зависимости от характера уголовного дела и его объема рекомендуется группировать материалы адвокатского производства в следующем порядке: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 расположению материалов в уголовном деле;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 отдельным лицам;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эпизодам.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сложному, </w:t>
      </w:r>
      <w:proofErr w:type="spellStart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многоэпизодному</w:t>
      </w:r>
      <w:proofErr w:type="spellEnd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уголовному делу целесообразно группировать материалы по эпизодам.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замечания, появившиеся у адвоката при изучении материалов дела, рекомендуется записывать и хранить в адвокатском производстве. Рекомендуется также при этом фиксировать листы и тома уголовного дела, чтобы в последующем иметь возможность быстро находить нужные материалы и делать ссылки на них.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 связи с характером дела возникает необходимость изучить дополнительный нормативный материал, специальную или научную литературу, судебную практику, целесообразно важные для защиты выписки из этого материала также помещать в адвокатское производство.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адвокату рекомендуется конспективно вести личную протокольную запись, в которой отражать все обстоятельства, имеющие значение для защиты: показания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подсудимых и свидетелей, задаваемые им участниками процесса вопросы и ответы их на вопросы, показания экспертов и специалистов в суде, важные заявления и ходатайства участников процесса и т.д. Рекомендуется также записывать ход судебного разбирательства на диктофон, особенно по сложным уголовным делам с большим числом доказательств. Аудиозаписи судебных заседаний помогут не только правильно выстроить речь в защиту доверителя, но и подтвердить правильность и обоснованность замечаний на протокол судебного заседания.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заранее продумать и подготовить в письменном виде наиболее существенные вопросы подсудимым, свидетелям, экспертам, специалистам и приобщать их затем к материалам адвокатского производства.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письменных ходатайств необходимо хранить в адвокатском производстве, а о заявленных устных ходатайствах и представляемых суду документах делать соответствующие записи.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изготовления судом протокола заседания адвокатам рекомендуется тщательно ознакомиться с ним, получить его копию либо сделать выписки с обозначением листов дела.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ведения дела в суде первой инстанции в адвокатском производстве, как правило, должны находиться следующие процессуальные документы: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приговора;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протокола судебного заседания или выписки из него, копия замечаний на протокол судебного заседания (при их наличии), копия решения суда о принятии замечаний или об их отклонении;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кассационного представления прокурора или жалобы потерпевшего и возражения адвоката на них;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кассационной (апелляционной) жалобы.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адвокатском производстве, помимо указанных выше, рекомендуется также иметь (в копиях или выписках) следующие материалы уголовного дела: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 о задержании подозреваемого, об избрании и изменении меры пресечения, постановления о назначении экспертиз (с перечнем поставленных на разрешение экспертов вопросов), заключения экспертиз;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протоколы обысков и описи имущества; документы, подтверждающие изъятие ценностей;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протоколы допросов подзащитного, других обвиняемых (подсудимых), потерпевших, свидетелей и очных ставок;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протоколы освидетельствования либо осмотра документов, вещественных доказательств, осмотра местности, воспроизведения обстановки и обстоятельств события;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характеристики, справки о судимости, прочие документы, относящиеся к личности подзащитного (справки о болезни, составе семьи и т.д.).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адвокатского производства рекомендуется соблюдать следующие технические правила: записи делать только на одной стороне листа, оставлять большие поля для заметок, которые потом могут быть использованы в суде.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выписках из материалов дела указывать данные о томе и листах уголовного дела, из которого они сделаны, дату составления документа, его краткое содержание. Если в документах имеются какие-либо дефекты или процессуальные нарушения (отсутствие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реквизитов, дат, фамилий и т.п.),  это также следует отразить в адвокатском производстве.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выписок из материалов следственного и судебного дела, рекомендуется составлять и хранить в адвокатском производстве справочные таблицы и схемы, помогающие адвокату ориентироваться в деле и в своем производстве. Они особенно необходимы по сложным, </w:t>
      </w:r>
      <w:proofErr w:type="spellStart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многоэпизодным</w:t>
      </w:r>
      <w:proofErr w:type="spellEnd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многотомным делам.</w:t>
      </w:r>
      <w:bookmarkStart w:id="1" w:name="_ftnref2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"file:///Z:\\Ð ÑÐ¼ÑÐ½ÑÐµÐ²Ð°\\Ð¡Ð°Ð¹Ñ%20Ð¤ÐÐ\\Ð¨Ð°Ð±Ð\»Ð¾Ð½%20Ð´Ð\»Ñ%20Ð¾ÑÐ¾ÑÐ¼Ð\»ÐµÐ½Ð¸Ñ%20Ð´Ð¾ÐºÑÐ¼ÐµÐ½ÑÐ¾Ð²\\Ð ÐµÑÐµÐ½Ð¸Ñ%20Ð¡Ð¾Ð²ÐµÑÐ°%20Ð¤ÐÐ\\2010%20Ð³Ð¾Ð´\\Ð ÐµÐºÐ¾Ð¼ÐµÐ½Ð´Ð°ÑÐ¸Ð¸\\ÐÐµÑÐ¾Ð´Ð¸ÑÐµÑÐºÐ¸Ðµ%20ÑÐµÐºÐ¾Ð¼ÐµÐ½Ð´Ð°ÑÐ¸Ð¸%20Ð¿Ð¾%20Ð²ÐµÐ´ÐµÐ½Ð¸Ñ%20Ð°Ð´Ð²Ð¾ÐºÐ°ÑÑÐºÐ¾Ð³Ð¾%20Ð¿ÑÐ¾Ð¸Ð·Ð²Ð¾Ð´ÑÑÐ²Ð°.doc" \l "_ftn2" </w:instrTex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1D34">
        <w:rPr>
          <w:rFonts w:ascii="Times New Roman" w:eastAsia="Times New Roman" w:hAnsi="Times New Roman" w:cs="Times New Roman"/>
          <w:color w:val="9F372B"/>
          <w:sz w:val="24"/>
          <w:szCs w:val="24"/>
          <w:lang w:eastAsia="ru-RU"/>
        </w:rPr>
        <w:t>[3]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адвокатском производстве рекомендуется хранить материал подготовки к защитительной речи. Следует помнить, что нет такого дела, по которому можно произносить речь без предварительной подготовки, составления тезисов, плана краткого или полного текста выступления защитника.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методических рекомендациях невозможно точно определить, какой из видов подготовки речи следует предпочесть. Однако в любом случае текст защитительной речи (в тезисах или полном объеме) следует хранить в адвокатском производстве.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Содержание адвокатского производства по гражданским делам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Адвокатское производство по гражданским делам рекомендуется формировать с момента принятия поручения на представление интересов доверителя в суде. Однако с учетом того, что определение правовой позиции по делу адвокатом начинается с  обращения доверителя (гражданина, представителя юридического лица) за юридической консультацией, в производстве должны найти отражение все переговоры и встречи адвоката с доверителем, включая встречу при первичном обращении доверителя к адвокату. 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поручения по гражданскому делу адвокату следует провести предварительный анализ пожеланий доверителя на соответствие их требованиям действующего законодательства и по результатам встречи и ознакомления с предоставленными доверителем материалами предложить доверителю правовую позицию по делу, а также предупредить доверителя о предполагаемых рисках при дальнейшем движении дела. Данные действия адвоката направлены на соблюдение законного интереса доверителя </w:t>
      </w:r>
      <w:r w:rsidRPr="004C1D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возможности принять окончательное решение о работе с адвокатом по делу либо о прекращении работы.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адвокатском производстве рекомендуется иметь копии составленных адвокатом письменных документов (запросов, ходатайств, исков, отзывов, возражений на  исковые требования и пр.), а также копии полученных на них ответов.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утраты адвокату рекомендуется избегать хранения подлинных документов, переданных доверителем, у себя лично или в адвокатском образовании. В адвокатском производстве целесообразно иметь копии этих документов, а подлинники оставлять у доверителя. Следует учитывать, однако, что при рассмотрении гражданского дела в судах общей юрисдикции либо в арбитражных судах исследование доказательств по делу предполагает обязанность для сторон предоставления подлинников необходимых документов по требованию суда. 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таком случае при невозможности непосредственного присутствия доверителя в судебных заседаниях обязанность предоставления подлинных документов при рассмотрении дела возлагается на адвоката.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адвокату рекомендуется получать у доверителя подлинные документы на необходимое время и хранить их в адвокатском производстве (поскольку адвокатское производство обеспечивает сохранение адвокатской тайны), а когда надобность в подлинных документах отпадает, возвращать их доверителю.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подлинников документов адвокату, а также при последующем возврате их  доверителю адвокату рекомендуется иметь в производстве их перечень и отметку об их получении, а затем о возврате. Наличие таких записей и расписок о получении позволит избежать возможных конфликтов между адвокатом и доверителем.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расположения материалов в адвокатском производстве адвокат вправе определять по своему усмотрению. Однако в ряде случаев, например, когда предъявленный иск, в том числе встречный, содержит несколько исковых требований, для удобства целесообразно сгруппировать материалы, находящиеся в производстве, по каждому исковому требованию отдельно (в виде файлов или отражения этого деления на нумерации листов).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правовых норм, судебных прецедентов, комментариев специалистов, иных материалов, на которые адвокат ссылается в обоснование своей позиции по делу, а также тезисы и проекты выступлений адвоката в суде, рекомендуется хранить в адвокатском производстве.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адвокатом принятого поручения на ведение дела в суде предполагает не только оформление процессуальных документов (исковых заявлений, апелляционных или кассационных жалоб на судебные акты, отзывов и возражений, заявлений и ходатайств, иных предусмотренных гражданским и арбитражным процессуальным законодательством документов), но и постоянное участие адвоката в процессе судебного разбирательства.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адвокатском производстве должны содержаться: отметки об ознакомлении с протоком судебного заседания, копия протокола или выписки из него, копии замечаний на протокол судебного заседания (при их наличии), копии определений суда о принятии замечаний или об их отклонении, копии кассационной (апелляционной) жалобы либо возражений на нее.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доверитель удовлетворен состоявшимся решением суда, рекомендуется отразить это в адвокатском производстве.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 соблюдении адвокатской тайны при ведении адвокатского производства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конституционного права гражданина Российской Федерации  на квалифицированную юридическую помощь невозможно без соблюдения адвокатской тайны. 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8 Федерального закона «Об адвокатской деятельности и адвокатуре в Российской Федерации» распространяет режим адвокатской тайны на любые сведения, связанные с оказанием адвокатом юридической помощи своему доверителю.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все материалы, содержащие такие сведения, содержат адвокатскую тайну.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перечень информации, материалов, хранящихся в адвокатском производстве, в отношении которых должен соблюдаться режим обеспечения адвокатской тайны</w:t>
      </w:r>
      <w:bookmarkStart w:id="2" w:name="_ftnref3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"file:///Z:\\Ð ÑÐ¼ÑÐ½ÑÐµÐ²Ð°\\Ð¡Ð°Ð¹Ñ%20Ð¤ÐÐ\\Ð¨Ð°Ð±Ð\»Ð¾Ð½%20Ð´Ð\»Ñ%20Ð¾ÑÐ¾ÑÐ¼Ð\»ÐµÐ½Ð¸Ñ%20Ð´Ð¾ÐºÑÐ¼ÐµÐ½ÑÐ¾Ð²\\Ð ÐµÑÐµÐ½Ð¸Ñ%20Ð¡Ð¾Ð²ÐµÑÐ°%20Ð¤ÐÐ\\2010%20Ð³Ð¾Ð´\\Ð ÐµÐºÐ¾Ð¼ÐµÐ½Ð´Ð°ÑÐ¸Ð¸\\ÐÐµÑÐ¾Ð´Ð¸ÑÐµÑÐºÐ¸Ðµ%20ÑÐµÐºÐ¾Ð¼ÐµÐ½Ð´Ð°ÑÐ¸Ð¸%20Ð¿Ð¾%20Ð²ÐµÐ´ÐµÐ½Ð¸Ñ%20Ð°Ð´Ð²Ð¾ÐºÐ°ÑÑÐºÐ¾Ð³Ð¾%20Ð¿ÑÐ¾Ð¸Ð·Ð²Ð¾Ð´ÑÑÐ²Ð°.doc" \l "_ftn3" </w:instrTex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1D34">
        <w:rPr>
          <w:rFonts w:ascii="Times New Roman" w:eastAsia="Times New Roman" w:hAnsi="Times New Roman" w:cs="Times New Roman"/>
          <w:color w:val="9F372B"/>
          <w:sz w:val="24"/>
          <w:szCs w:val="24"/>
          <w:lang w:eastAsia="ru-RU"/>
        </w:rPr>
        <w:t>[4]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записи и документы, содержащие информацию о факте обращения доверителя к адвокату,  о характере и содержании оказанной ему юридической помощи;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доказательства и материалы, собранные адвокатом в ходе подготовки к делу;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записи любых сообщенных адвокату сведений из личной, семейной, интимной, общественной, служебной, хозяйственной и иной сфер деятельности доверителя, ставшие известными адвокату в процессе оказания юридической помощи;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иные сведения, полученные адвокатом от доверителя,  и любые документы, иные письменные, аудио- и видеоматериалы, информация на электронных носителях, если они входят в производство по делу;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содержание правовых советов, содержащихся в том или ином виде в адвокатском производстве, данных непосредственно доверителю или ему предназначенных;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записи и сведения, полученные адвокатом в результате его участия в закрытых судебных заседаниях, за исключением содержания судебных актов, подлежащих публичному оглашению;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записи и документы, содержащие информацию о принадлежности доверителя к формальным и неформальным профессиональным, религиозным, общественным и иным объединениям граждан; </w:t>
      </w: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записи с любыми другими сведениями, связанные с оказанием юридической помощи, распространение которых может нанести вред охраняемым законом правам и интересам доверителя, адвоката и других лиц.</w:t>
      </w:r>
    </w:p>
    <w:p w:rsidR="004C1D34" w:rsidRPr="004C1D34" w:rsidRDefault="004C1D34" w:rsidP="004C1D34">
      <w:pPr>
        <w:spacing w:after="0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В тех случаях, когда материалы, предметы, иные сведения, имеющие отношение к делу, в силу своего объема не помещаются в папке «Адвокатское производство», рекомендуется отмечать их соответствующими надписями (наклейками) </w:t>
      </w:r>
      <w:r w:rsidRPr="004C1D34">
        <w:rPr>
          <w:rFonts w:ascii="europe" w:eastAsia="Times New Roman" w:hAnsi="europe" w:cs="Times New Roman"/>
          <w:b/>
          <w:bCs/>
          <w:i/>
          <w:iCs/>
          <w:sz w:val="24"/>
          <w:szCs w:val="24"/>
          <w:lang w:eastAsia="ru-RU"/>
        </w:rPr>
        <w:t>«Адвокатское производство адвоката (Ф.И.О.), (</w:t>
      </w:r>
      <w:proofErr w:type="spellStart"/>
      <w:r w:rsidRPr="004C1D34">
        <w:rPr>
          <w:rFonts w:ascii="europe" w:eastAsia="Times New Roman" w:hAnsi="europe" w:cs="Times New Roman"/>
          <w:b/>
          <w:bCs/>
          <w:i/>
          <w:iCs/>
          <w:sz w:val="24"/>
          <w:szCs w:val="24"/>
          <w:lang w:eastAsia="ru-RU"/>
        </w:rPr>
        <w:t>рег.№</w:t>
      </w:r>
      <w:proofErr w:type="spellEnd"/>
      <w:r w:rsidRPr="004C1D34">
        <w:rPr>
          <w:rFonts w:ascii="europe" w:eastAsia="Times New Roman" w:hAnsi="europe" w:cs="Times New Roman"/>
          <w:b/>
          <w:bCs/>
          <w:i/>
          <w:iCs/>
          <w:sz w:val="24"/>
          <w:szCs w:val="24"/>
          <w:lang w:eastAsia="ru-RU"/>
        </w:rPr>
        <w:t xml:space="preserve">_____ в реестре адвокатов ____________________)» 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и хранить в сейфах, архивных шкафах или специальных боксах, имеющих надпись: </w:t>
      </w:r>
      <w:r w:rsidRPr="004C1D34">
        <w:rPr>
          <w:rFonts w:ascii="europe" w:eastAsia="Times New Roman" w:hAnsi="europe" w:cs="Times New Roman"/>
          <w:b/>
          <w:bCs/>
          <w:i/>
          <w:iCs/>
          <w:sz w:val="24"/>
          <w:szCs w:val="24"/>
          <w:lang w:eastAsia="ru-RU"/>
        </w:rPr>
        <w:t>«В боксе (сейфе, шкафе) содержатся сведения, составляющие охраняемую законом адвокатскую тайну».</w:t>
      </w:r>
    </w:p>
    <w:p w:rsidR="004C1D34" w:rsidRPr="004C1D34" w:rsidRDefault="004C1D34" w:rsidP="004C1D34">
      <w:pPr>
        <w:spacing w:after="0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При параллельном ведении адвокатского производства в электронном виде (с включением в него текстовых файлов документов, сканированных копий или цифровых фотокопий документов) необходимо выполнять следующие требования: 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br/>
        <w:t xml:space="preserve">- обязательно иметь резервную копию материалов; 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br/>
        <w:t xml:space="preserve">- каждый компьютер снабдить прочно удерживаемой наклейкой, содержащей надпись: </w:t>
      </w:r>
      <w:r w:rsidRPr="004C1D34">
        <w:rPr>
          <w:rFonts w:ascii="europe" w:eastAsia="Times New Roman" w:hAnsi="europe" w:cs="Times New Roman"/>
          <w:b/>
          <w:bCs/>
          <w:i/>
          <w:iCs/>
          <w:sz w:val="24"/>
          <w:szCs w:val="24"/>
          <w:lang w:eastAsia="ru-RU"/>
        </w:rPr>
        <w:t>«Компьютер адвоката (Ф.И.О.), (</w:t>
      </w:r>
      <w:proofErr w:type="spellStart"/>
      <w:r w:rsidRPr="004C1D34">
        <w:rPr>
          <w:rFonts w:ascii="europe" w:eastAsia="Times New Roman" w:hAnsi="europe" w:cs="Times New Roman"/>
          <w:b/>
          <w:bCs/>
          <w:i/>
          <w:iCs/>
          <w:sz w:val="24"/>
          <w:szCs w:val="24"/>
          <w:lang w:eastAsia="ru-RU"/>
        </w:rPr>
        <w:t>рег.№</w:t>
      </w:r>
      <w:proofErr w:type="spellEnd"/>
      <w:r w:rsidRPr="004C1D34">
        <w:rPr>
          <w:rFonts w:ascii="europe" w:eastAsia="Times New Roman" w:hAnsi="europe" w:cs="Times New Roman"/>
          <w:b/>
          <w:bCs/>
          <w:i/>
          <w:iCs/>
          <w:sz w:val="24"/>
          <w:szCs w:val="24"/>
          <w:lang w:eastAsia="ru-RU"/>
        </w:rPr>
        <w:t>_____ в реестре адвокатов. Содержит адвокатские производства по делам его доверителей»;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 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br/>
        <w:t xml:space="preserve">- исключить доступ к электронному адвокатскому производству посторонних лиц путем применения при необходимости средств защиты информации (программных – установка периодически изменяемых паролей, применение электронных программ криптографии; аппаратных – доступ к информации на персональном компьютере с использованием сканера отпечатка пальцев, систематически тестировать компьютер на предмет выявления попыток незаконного проникновения); 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br/>
        <w:t xml:space="preserve">- особое внимание уделить локальной сети, а также получению и отправке информации через Интернет, то есть контролю за безопасностью электронной почты; 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br/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lastRenderedPageBreak/>
        <w:t xml:space="preserve">- компьютер, в котором хранится вся информация, создаваемая в адвокатском образовании, разместить в отдельном помещении с особым доступом – защитой от вторжения, а наиболее важную информацию хранить на сервере в зашифрованном виде; 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br/>
        <w:t>- принять меры к тому, чтобы исключить возможность доступа к содержимому компьютеров, на которых работают адвокаты, со стороны всех остальных лиц (защита информации может быть обеспечена путем специальных шифровальных программ, например PGP (</w:t>
      </w:r>
      <w:proofErr w:type="spellStart"/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>Pretty</w:t>
      </w:r>
      <w:proofErr w:type="spellEnd"/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 </w:t>
      </w:r>
      <w:proofErr w:type="spellStart"/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>Good</w:t>
      </w:r>
      <w:proofErr w:type="spellEnd"/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 </w:t>
      </w:r>
      <w:proofErr w:type="spellStart"/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>Privacy</w:t>
      </w:r>
      <w:proofErr w:type="spellEnd"/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), которая доступна на сайте </w:t>
      </w:r>
      <w:hyperlink r:id="rId5" w:history="1">
        <w:r w:rsidRPr="004C1D34">
          <w:rPr>
            <w:rFonts w:ascii="europe" w:eastAsia="Times New Roman" w:hAnsi="europe" w:cs="Times New Roman"/>
            <w:color w:val="9F372B"/>
            <w:sz w:val="24"/>
            <w:szCs w:val="24"/>
            <w:lang w:eastAsia="ru-RU"/>
          </w:rPr>
          <w:t>www.pgp.com</w:t>
        </w:r>
      </w:hyperlink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>).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материалами адвокатского производства следует своевременно уничтожать документы и информацию, в хранении которых нет необходимости (удалять файлы из компьютера, в том числе и из «корзины», уничтожать бумаги в специальном устройстве). 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Адвокатские производства в отношении каждого доверителя следует хранить отдельно, а при необходимости (в том числе и для удобства) – хранить отдельно и адвокатские производства по каждому из нескольких дел одного доверителя.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исходящая от адвоката корреспонденция в рамках ведения адвокатского производства могла быть однозначно идентифицирована как почта адвоката, следует использовать фирменные бланки адвокатского образования; если документ оформлен не на бланке, обязательно указывать, что этот документ составлен адвокатом.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ежедневниками и органайзерами (как бумажными, так и электронными) рекомендуется соблюдать осторожность, не перенося в них информацию из адвокатского производства, относящуюся к предмету (содержанию) адвокатской тайны.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условий соглашения с доверителем и завершения работы с материалами дела адвокатское производство подлежит помещению в архив адвокатского образования, место расположения которого и порядок хранения материалов адвокатского производства определяются с учетом требований о сохранении адвокатской тайны.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работники адвокатских образований, включая помощников адвокатов, стажеров адвокатов, имеющие доступ к адвокатскому производству, должны быть в письменном виде предупреждены о недопустимости разглашения адвокатской тайны и проинструктированы, как следует организовать работу на своем рабочем месте, чтобы исключить попадание информации к посторонним лицам. 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мер по обеспечению соблюдения адвокатской тайны следует иметь в виду, что адвокат не вправе выступать в роли хранителя орудий и предметов преступления и принимать поручения, имеющие заведомо незаконный характер (п.п. 1 и 2 п. 4 ст. 6, п. 3 ст. 8 Федерального закона «Об адвокатской деятельности и адвокатуре в Российской Федерации»).</w:t>
      </w:r>
    </w:p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с информацией по обеспечению адвокатской тайны можно ознакомиться в </w:t>
      </w:r>
      <w:hyperlink r:id="rId6" w:history="1">
        <w:r w:rsidRPr="004C1D34">
          <w:rPr>
            <w:rFonts w:ascii="Times New Roman" w:eastAsia="Times New Roman" w:hAnsi="Times New Roman" w:cs="Times New Roman"/>
            <w:color w:val="9F372B"/>
            <w:sz w:val="24"/>
            <w:szCs w:val="24"/>
            <w:lang w:eastAsia="ru-RU"/>
          </w:rPr>
          <w:t>Рекомендациях по обеспечению адвокатской тайны, утвержденных решением Совета ФПА РФ от 30 ноября 2009 г. (протокол № 3)</w:t>
        </w:r>
      </w:hyperlink>
      <w:r w:rsidRPr="004C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D34" w:rsidRPr="004C1D34" w:rsidRDefault="004C1D34" w:rsidP="004C1D34">
      <w:pPr>
        <w:spacing w:after="0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br w:type="textWrapping" w:clear="all"/>
      </w:r>
    </w:p>
    <w:p w:rsidR="004C1D34" w:rsidRPr="004C1D34" w:rsidRDefault="004C1D34" w:rsidP="004C1D34">
      <w:pPr>
        <w:spacing w:after="0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pict>
          <v:rect id="_x0000_i1029" style="width:154.35pt;height:.75pt" o:hrpct="330" o:hrstd="t" o:hr="t" fillcolor="#a0a0a0" stroked="f"/>
        </w:pict>
      </w:r>
    </w:p>
    <w:bookmarkStart w:id="3" w:name="_ftn1"/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16"/>
          <w:lang w:eastAsia="ru-RU"/>
        </w:rPr>
        <w:fldChar w:fldCharType="begin"/>
      </w:r>
      <w:r w:rsidRPr="004C1D34">
        <w:rPr>
          <w:rFonts w:ascii="europe" w:eastAsia="Times New Roman" w:hAnsi="europe" w:cs="Times New Roman"/>
          <w:sz w:val="16"/>
          <w:lang w:eastAsia="ru-RU"/>
        </w:rPr>
        <w:instrText xml:space="preserve"> HYPERLINK "file:///Z:\\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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Ð½Ñ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ÐµÐ²Ð°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Ð¡Ð°Ð¹Ñ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Ð¤Ð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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\\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Ð¨Ð°Ð±Ð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»Ð¾Ð½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Ð´Ð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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Ð´Ð¾ÐºÑ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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Ð¼ÐµÐ½Ñ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Ð¾Ð²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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Ð¡Ð¾Ð²ÐµÑ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Ð¤Ð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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\\2010%20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Ð³Ð¾Ð´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ÐµÐºÐ¾Ð¼ÐµÐ½Ð´Ð°Ñ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Ð¸Ð¸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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Ð¾Ð´Ð¸Ñ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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ÐºÐ¸Ðµ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ÐµÐºÐ¾Ð¼ÐµÐ½Ð´Ð°Ñ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Ð¸Ð¸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Ð¿Ð¾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Ð²ÐµÐ´ÐµÐ½Ð¸Ñ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%20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Ð°Ð´Ð²Ð¾ÐºÐ°Ñ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ÐºÐ¾Ð³Ð¾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Ð¿Ñ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Ð¾Ð¸Ð·Ð²Ð¾Ð´Ñ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Ð²Ð°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 xml:space="preserve">.doc" \l "_ftnref1" 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fldChar w:fldCharType="separate"/>
      </w:r>
      <w:r w:rsidRPr="004C1D34">
        <w:rPr>
          <w:rFonts w:ascii="europe" w:eastAsia="Times New Roman" w:hAnsi="europe" w:cs="Times New Roman"/>
          <w:color w:val="9F372B"/>
          <w:sz w:val="16"/>
          <w:lang w:eastAsia="ru-RU"/>
        </w:rPr>
        <w:t>[1]</w:t>
      </w:r>
      <w:r w:rsidRPr="004C1D34">
        <w:rPr>
          <w:rFonts w:ascii="europe" w:eastAsia="Times New Roman" w:hAnsi="europe" w:cs="Times New Roman"/>
          <w:sz w:val="16"/>
          <w:lang w:eastAsia="ru-RU"/>
        </w:rPr>
        <w:fldChar w:fldCharType="end"/>
      </w:r>
      <w:bookmarkEnd w:id="3"/>
      <w:r w:rsidRPr="004C1D34">
        <w:rPr>
          <w:rFonts w:ascii="europe" w:eastAsia="Times New Roman" w:hAnsi="europe" w:cs="Times New Roman"/>
          <w:sz w:val="16"/>
          <w:lang w:eastAsia="ru-RU"/>
        </w:rPr>
        <w:t xml:space="preserve"> Под материалами дела в настоящих рекомендациях понимаются любые документы и их копии, любые относящиеся к поручению записи, выписки, содержащие любую информацию по делу, выполненные как на бумажных, так и на других носителях информации (фотопленка, цифровые носители информации и т.д.).</w:t>
      </w:r>
      <w:hyperlink r:id="rId7" w:anchor="2" w:history="1">
        <w:r w:rsidRPr="004C1D34">
          <w:rPr>
            <w:rFonts w:ascii="europe" w:eastAsia="Times New Roman" w:hAnsi="europe" w:cs="Times New Roman"/>
            <w:color w:val="9F372B"/>
            <w:sz w:val="16"/>
            <w:lang w:eastAsia="ru-RU"/>
          </w:rPr>
          <w:t>[2]</w:t>
        </w:r>
      </w:hyperlink>
      <w:r w:rsidRPr="004C1D34">
        <w:rPr>
          <w:rFonts w:ascii="europe" w:eastAsia="Times New Roman" w:hAnsi="europe" w:cs="Times New Roman"/>
          <w:sz w:val="16"/>
          <w:lang w:eastAsia="ru-RU"/>
        </w:rPr>
        <w:t> 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 xml:space="preserve">Особую важность выполнение данного требования </w:t>
      </w:r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lastRenderedPageBreak/>
        <w:t xml:space="preserve">приобрело в свете разъяснения Конституционного Суда Российской Федерации, сформулированного в Постановлении от 17 декабря 2015 г. N 33-П (в п. 3.2. </w:t>
      </w:r>
      <w:proofErr w:type="spellStart"/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>абз</w:t>
      </w:r>
      <w:proofErr w:type="spellEnd"/>
      <w:r w:rsidRPr="004C1D34">
        <w:rPr>
          <w:rFonts w:ascii="europe" w:eastAsia="Times New Roman" w:hAnsi="europe" w:cs="Times New Roman"/>
          <w:sz w:val="24"/>
          <w:szCs w:val="24"/>
          <w:lang w:eastAsia="ru-RU"/>
        </w:rPr>
        <w:t>. 2), о том, что в случае санкционирования судом следственных действий по обнаружению и изъятию тех или иных конкретных объектов из материалов адвокатского производства, в отношении остальных материалов соответствующего производства, а также любых иных адвокатских производств действует презумпция правомерности их формирования, иными словами, другие материалы (кроме указанных в судебном решении) соответствующего адвокатского производства и других адвокатских производств не подлежат исследованию, обследованию, изучению или копированию.</w:t>
      </w:r>
      <w:bookmarkStart w:id="4" w:name="2"/>
      <w:bookmarkEnd w:id="4"/>
    </w:p>
    <w:bookmarkStart w:id="5" w:name="_ftn2"/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16"/>
          <w:lang w:eastAsia="ru-RU"/>
        </w:rPr>
        <w:fldChar w:fldCharType="begin"/>
      </w:r>
      <w:r w:rsidRPr="004C1D34">
        <w:rPr>
          <w:rFonts w:ascii="europe" w:eastAsia="Times New Roman" w:hAnsi="europe" w:cs="Times New Roman"/>
          <w:sz w:val="16"/>
          <w:lang w:eastAsia="ru-RU"/>
        </w:rPr>
        <w:instrText xml:space="preserve"> HYPERLINK "file:///Z:\\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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Ð½Ñ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ÐµÐ²Ð°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Ð¡Ð°Ð¹Ñ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Ð¤Ð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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\\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Ð¨Ð°Ð±Ð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»Ð¾Ð½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Ð´Ð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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Ð´Ð¾ÐºÑ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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Ð¼ÐµÐ½Ñ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Ð¾Ð²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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Ð¡Ð¾Ð²ÐµÑ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Ð¤Ð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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\\2010%20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Ð³Ð¾Ð´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ÐµÐºÐ¾Ð¼ÐµÐ½Ð´Ð°Ñ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Ð¸Ð¸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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Ð¾Ð´Ð¸Ñ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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ÐºÐ¸Ðµ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ÐµÐºÐ¾Ð¼ÐµÐ½Ð´Ð°Ñ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Ð¸Ð¸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Ð¿Ð¾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Ð²ÐµÐ´ÐµÐ½Ð¸Ñ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%20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Ð°Ð´Ð²Ð¾ÐºÐ°Ñ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ÐºÐ¾Ð³Ð¾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Ð¿Ñ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Ð¾Ð¸Ð·Ð²Ð¾Ð´Ñ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Ð²Ð°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 xml:space="preserve">.doc" \l "_ftnref2" 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fldChar w:fldCharType="separate"/>
      </w:r>
      <w:r w:rsidRPr="004C1D34">
        <w:rPr>
          <w:rFonts w:ascii="europe" w:eastAsia="Times New Roman" w:hAnsi="europe" w:cs="Times New Roman"/>
          <w:color w:val="9F372B"/>
          <w:sz w:val="16"/>
          <w:lang w:eastAsia="ru-RU"/>
        </w:rPr>
        <w:t>[3]</w:t>
      </w:r>
      <w:r w:rsidRPr="004C1D34">
        <w:rPr>
          <w:rFonts w:ascii="europe" w:eastAsia="Times New Roman" w:hAnsi="europe" w:cs="Times New Roman"/>
          <w:sz w:val="16"/>
          <w:lang w:eastAsia="ru-RU"/>
        </w:rPr>
        <w:fldChar w:fldCharType="end"/>
      </w:r>
      <w:bookmarkEnd w:id="5"/>
      <w:r w:rsidRPr="004C1D34">
        <w:rPr>
          <w:rFonts w:ascii="europe" w:eastAsia="Times New Roman" w:hAnsi="europe" w:cs="Times New Roman"/>
          <w:sz w:val="16"/>
          <w:lang w:eastAsia="ru-RU"/>
        </w:rPr>
        <w:t xml:space="preserve"> Особую важность выполнение данного требования приобрело в свете разъяснения Конституционного Суда Российской Федерации, сформулированного в Постановлении от 17 декабря 2015 г. N 33-П (в п. 3.2. </w:t>
      </w:r>
      <w:proofErr w:type="spellStart"/>
      <w:r w:rsidRPr="004C1D34">
        <w:rPr>
          <w:rFonts w:ascii="europe" w:eastAsia="Times New Roman" w:hAnsi="europe" w:cs="Times New Roman"/>
          <w:sz w:val="16"/>
          <w:lang w:eastAsia="ru-RU"/>
        </w:rPr>
        <w:t>абз</w:t>
      </w:r>
      <w:proofErr w:type="spellEnd"/>
      <w:r w:rsidRPr="004C1D34">
        <w:rPr>
          <w:rFonts w:ascii="europe" w:eastAsia="Times New Roman" w:hAnsi="europe" w:cs="Times New Roman"/>
          <w:sz w:val="16"/>
          <w:lang w:eastAsia="ru-RU"/>
        </w:rPr>
        <w:t>. 2), о том, что в случае санкционирования судом следственных действий по обнаружению и изъятию тех или иных конкретных объектов из материалов адвокатского производства, в отношении остальных материалов соответствующего производства, а также любых иных адвокатских производств действует презумпция правомерности их формирования, иными словами, другие материалы (кроме указанных в судебном решении) соответствующего адвокатского производства и других адвокатских производств не подлежат исследованию, обследованию, изучению или копированию.</w:t>
      </w:r>
    </w:p>
    <w:bookmarkStart w:id="6" w:name="_ftn3"/>
    <w:p w:rsidR="004C1D34" w:rsidRPr="004C1D34" w:rsidRDefault="004C1D34" w:rsidP="004C1D34">
      <w:pPr>
        <w:spacing w:before="100" w:beforeAutospacing="1" w:after="100" w:afterAutospacing="1" w:line="240" w:lineRule="auto"/>
        <w:jc w:val="both"/>
        <w:rPr>
          <w:rFonts w:ascii="europe" w:eastAsia="Times New Roman" w:hAnsi="europe" w:cs="Times New Roman"/>
          <w:sz w:val="24"/>
          <w:szCs w:val="24"/>
          <w:lang w:eastAsia="ru-RU"/>
        </w:rPr>
      </w:pPr>
      <w:r w:rsidRPr="004C1D34">
        <w:rPr>
          <w:rFonts w:ascii="europe" w:eastAsia="Times New Roman" w:hAnsi="europe" w:cs="Times New Roman"/>
          <w:sz w:val="16"/>
          <w:lang w:eastAsia="ru-RU"/>
        </w:rPr>
        <w:fldChar w:fldCharType="begin"/>
      </w:r>
      <w:r w:rsidRPr="004C1D34">
        <w:rPr>
          <w:rFonts w:ascii="europe" w:eastAsia="Times New Roman" w:hAnsi="europe" w:cs="Times New Roman"/>
          <w:sz w:val="16"/>
          <w:lang w:eastAsia="ru-RU"/>
        </w:rPr>
        <w:instrText xml:space="preserve"> HYPERLINK "file:///Z:\\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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Ð½Ñ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ÐµÐ²Ð°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Ð¡Ð°Ð¹Ñ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Ð¤Ð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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\\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Ð¨Ð°Ð±Ð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»Ð¾Ð½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Ð´Ð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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»ÐµÐ½Ð¸Ñ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Ð´Ð¾ÐºÑ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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Ð¼ÐµÐ½Ñ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Ð¾Ð²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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%20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Ð¡Ð¾Ð²ÐµÑ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Ð¤Ð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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\\2010%20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Ð³Ð¾Ð´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 ÐµÐºÐ¾Ð¼ÐµÐ½Ð´Ð°Ñ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Ð¸Ð¸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\\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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Ð¾Ð´Ð¸Ñ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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ÐºÐ¸Ðµ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ÐµÐºÐ¾Ð¼ÐµÐ½Ð´Ð°Ñ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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Ð¸Ð¸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Ð¿Ð¾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Ð²ÐµÐ´ÐµÐ½Ð¸Ñ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%20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Ð°Ð´Ð²Ð¾ÐºÐ°Ñ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ÐºÐ¾Ð³Ð¾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>%20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Ð¿Ñ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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Ð¾Ð¸Ð·Ð²Ð¾Ð´Ñ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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Ñ</w:instrText>
      </w:r>
      <w:r w:rsidRPr="004C1D34">
        <w:rPr>
          <w:rFonts w:ascii="Times New Roman" w:eastAsia="Times New Roman" w:hAnsi="Times New Roman" w:cs="Times New Roman"/>
          <w:sz w:val="16"/>
          <w:lang w:eastAsia="ru-RU"/>
        </w:rPr>
        <w:instrText></w:instrText>
      </w:r>
      <w:r w:rsidRPr="004C1D34">
        <w:rPr>
          <w:rFonts w:ascii="europe" w:eastAsia="Times New Roman" w:hAnsi="europe" w:cs="Times New Roman" w:hint="eastAsia"/>
          <w:sz w:val="16"/>
          <w:lang w:eastAsia="ru-RU"/>
        </w:rPr>
        <w:instrText>Ð²Ð°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instrText xml:space="preserve">.doc" \l "_ftnref3" </w:instrText>
      </w:r>
      <w:r w:rsidRPr="004C1D34">
        <w:rPr>
          <w:rFonts w:ascii="europe" w:eastAsia="Times New Roman" w:hAnsi="europe" w:cs="Times New Roman"/>
          <w:sz w:val="16"/>
          <w:lang w:eastAsia="ru-RU"/>
        </w:rPr>
        <w:fldChar w:fldCharType="separate"/>
      </w:r>
      <w:r w:rsidRPr="004C1D34">
        <w:rPr>
          <w:rFonts w:ascii="europe" w:eastAsia="Times New Roman" w:hAnsi="europe" w:cs="Times New Roman"/>
          <w:color w:val="9F372B"/>
          <w:sz w:val="16"/>
          <w:lang w:eastAsia="ru-RU"/>
        </w:rPr>
        <w:t>[4]</w:t>
      </w:r>
      <w:r w:rsidRPr="004C1D34">
        <w:rPr>
          <w:rFonts w:ascii="europe" w:eastAsia="Times New Roman" w:hAnsi="europe" w:cs="Times New Roman"/>
          <w:sz w:val="16"/>
          <w:lang w:eastAsia="ru-RU"/>
        </w:rPr>
        <w:fldChar w:fldCharType="end"/>
      </w:r>
      <w:bookmarkEnd w:id="6"/>
      <w:r w:rsidRPr="004C1D34">
        <w:rPr>
          <w:rFonts w:ascii="europe" w:eastAsia="Times New Roman" w:hAnsi="europe" w:cs="Times New Roman"/>
          <w:sz w:val="16"/>
          <w:lang w:eastAsia="ru-RU"/>
        </w:rPr>
        <w:t xml:space="preserve"> Данный перечень ни при каких обстоятельствах не может рассматриваться как исчерпывающий. При определении того, на какие сведения распространяется режим адвокатской тайны, каждый адвокат должен руководствоваться положениями ст. 8 Закона «Об адвокатской деятельности и адвокатуре в Российской Федерации».</w:t>
      </w:r>
    </w:p>
    <w:p w:rsidR="00DF7192" w:rsidRDefault="00DF7192" w:rsidP="004C1D34">
      <w:pPr>
        <w:jc w:val="both"/>
      </w:pPr>
    </w:p>
    <w:sectPr w:rsidR="00DF7192" w:rsidSect="00DF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1D34"/>
    <w:rsid w:val="004C1D34"/>
    <w:rsid w:val="00D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92"/>
  </w:style>
  <w:style w:type="paragraph" w:styleId="1">
    <w:name w:val="heading 1"/>
    <w:basedOn w:val="a"/>
    <w:link w:val="10"/>
    <w:uiPriority w:val="9"/>
    <w:qFormat/>
    <w:rsid w:val="004C1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1D34"/>
    <w:rPr>
      <w:strike w:val="0"/>
      <w:dstrike w:val="0"/>
      <w:color w:val="9F372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C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er2">
    <w:name w:val="counter2"/>
    <w:basedOn w:val="a0"/>
    <w:rsid w:val="004C1D34"/>
    <w:rPr>
      <w:b w:val="0"/>
      <w:bCs w:val="0"/>
      <w:vanish w:val="0"/>
      <w:webHidden w:val="0"/>
      <w:sz w:val="15"/>
      <w:szCs w:val="15"/>
      <w:bdr w:val="single" w:sz="4" w:space="0" w:color="D8D8D8" w:frame="1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D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4C1D34"/>
  </w:style>
  <w:style w:type="character" w:customStyle="1" w:styleId="time-news">
    <w:name w:val="time-news"/>
    <w:basedOn w:val="a0"/>
    <w:rsid w:val="004C1D34"/>
  </w:style>
  <w:style w:type="character" w:customStyle="1" w:styleId="fpacontentnarrow">
    <w:name w:val="fpa_content_narrow"/>
    <w:basedOn w:val="a0"/>
    <w:rsid w:val="004C1D34"/>
  </w:style>
  <w:style w:type="character" w:styleId="a5">
    <w:name w:val="footnote reference"/>
    <w:basedOn w:val="a0"/>
    <w:uiPriority w:val="99"/>
    <w:semiHidden/>
    <w:unhideWhenUsed/>
    <w:rsid w:val="004C1D34"/>
  </w:style>
  <w:style w:type="paragraph" w:styleId="a6">
    <w:name w:val="footnote text"/>
    <w:basedOn w:val="a"/>
    <w:link w:val="a7"/>
    <w:uiPriority w:val="99"/>
    <w:semiHidden/>
    <w:unhideWhenUsed/>
    <w:rsid w:val="004C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C1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0261">
                  <w:marLeft w:val="-59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4283">
                      <w:marLeft w:val="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723632">
                          <w:marLeft w:val="0"/>
                          <w:marRight w:val="0"/>
                          <w:marTop w:val="0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828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parf.ru/documents/council_documents/council_recommendations/18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arf.ru/documents/council_documents/council_recommendations/1617/" TargetMode="External"/><Relationship Id="rId5" Type="http://schemas.openxmlformats.org/officeDocument/2006/relationships/hyperlink" Target="http://www.pgp.com/" TargetMode="External"/><Relationship Id="rId4" Type="http://schemas.openxmlformats.org/officeDocument/2006/relationships/hyperlink" Target="http://www.fparf.ru/documents/council_documents/council_recommendations/182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4553</Words>
  <Characters>25955</Characters>
  <Application>Microsoft Office Word</Application>
  <DocSecurity>0</DocSecurity>
  <Lines>216</Lines>
  <Paragraphs>60</Paragraphs>
  <ScaleCrop>false</ScaleCrop>
  <Company/>
  <LinksUpToDate>false</LinksUpToDate>
  <CharactersWithSpaces>30448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2016-11-05T05:36:00Z</dcterms:created>
  <dcterms:modified xsi:type="dcterms:W3CDTF">2016-11-05T05:37:00Z</dcterms:modified>
</cp:coreProperties>
</file>